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436C" w14:textId="77777777" w:rsidR="009220CF" w:rsidRPr="009220CF" w:rsidRDefault="009220CF" w:rsidP="009220C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220CF">
        <w:rPr>
          <w:rFonts w:ascii="Lato" w:eastAsia="Times New Roman" w:hAnsi="Lato" w:cs="Times New Roman"/>
          <w:color w:val="CC3300"/>
          <w:kern w:val="36"/>
          <w:sz w:val="36"/>
          <w:szCs w:val="36"/>
          <w:lang w:eastAsia="fr-BE"/>
          <w14:ligatures w14:val="none"/>
        </w:rPr>
        <w:t>L’offre en tungstène se raréfie</w:t>
      </w:r>
    </w:p>
    <w:p w14:paraId="30C69679" w14:textId="77777777" w:rsidR="009220CF" w:rsidRDefault="009220CF" w:rsidP="009220C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687DD9A" w14:textId="4FD1701B"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Le marché du tungstène doit face à un resserrement de ses fondamentaux, avec un renforcement de la demande, d’une part, et un tarissement de l’offre, d’autre part.</w:t>
      </w:r>
    </w:p>
    <w:p w14:paraId="754D1118"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 </w:t>
      </w:r>
    </w:p>
    <w:p w14:paraId="2895AFBE"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b/>
          <w:bCs/>
          <w:color w:val="A52A2A"/>
          <w:kern w:val="0"/>
          <w:sz w:val="23"/>
          <w:szCs w:val="23"/>
          <w:lang w:eastAsia="fr-BE"/>
          <w14:ligatures w14:val="none"/>
        </w:rPr>
        <w:t>Tungstène : difficile de s’approvisionner !</w:t>
      </w:r>
    </w:p>
    <w:p w14:paraId="1183E6C4"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Les marchés du </w:t>
      </w:r>
      <w:r w:rsidRPr="009220CF">
        <w:rPr>
          <w:rFonts w:ascii="Lato" w:eastAsia="Times New Roman" w:hAnsi="Lato" w:cs="Times New Roman"/>
          <w:color w:val="000000"/>
          <w:kern w:val="0"/>
          <w:sz w:val="23"/>
          <w:szCs w:val="23"/>
          <w:u w:val="single"/>
          <w:lang w:eastAsia="fr-BE"/>
          <w14:ligatures w14:val="none"/>
        </w:rPr>
        <w:t>tungstène</w:t>
      </w:r>
      <w:r w:rsidRPr="009220CF">
        <w:rPr>
          <w:rFonts w:ascii="Lato" w:eastAsia="Times New Roman" w:hAnsi="Lato" w:cs="Times New Roman"/>
          <w:color w:val="000000"/>
          <w:kern w:val="0"/>
          <w:sz w:val="23"/>
          <w:szCs w:val="23"/>
          <w:lang w:eastAsia="fr-BE"/>
          <w14:ligatures w14:val="none"/>
        </w:rPr>
        <w:t xml:space="preserve"> évoluent actuellement dans des sphères inédites. Les cours se sont propulsés à des niveaux plus vus depuis plusieurs années et franchissent des nouveaux records quasiment chaque semaine. Les sources du marché s’accordent à dire que la demande s’est renforcée au cours des derniers mois, notamment celle destinée au secteur militaire, une tendance qui s’explique par les conflits géopolitiques actuels. Mais </w:t>
      </w:r>
      <w:proofErr w:type="gramStart"/>
      <w:r w:rsidRPr="009220CF">
        <w:rPr>
          <w:rFonts w:ascii="Lato" w:eastAsia="Times New Roman" w:hAnsi="Lato" w:cs="Times New Roman"/>
          <w:color w:val="000000"/>
          <w:kern w:val="0"/>
          <w:sz w:val="23"/>
          <w:szCs w:val="23"/>
          <w:lang w:eastAsia="fr-BE"/>
          <w14:ligatures w14:val="none"/>
        </w:rPr>
        <w:t>c’est</w:t>
      </w:r>
      <w:proofErr w:type="gramEnd"/>
      <w:r w:rsidRPr="009220CF">
        <w:rPr>
          <w:rFonts w:ascii="Lato" w:eastAsia="Times New Roman" w:hAnsi="Lato" w:cs="Times New Roman"/>
          <w:color w:val="000000"/>
          <w:kern w:val="0"/>
          <w:sz w:val="23"/>
          <w:szCs w:val="23"/>
          <w:lang w:eastAsia="fr-BE"/>
          <w14:ligatures w14:val="none"/>
        </w:rPr>
        <w:t xml:space="preserve"> bien les tensions sur les disponibilités qui dictent la tendance depuis quelques mois. En Chine, par exemple, des quotas miniers sont en cours, de même que des inspections environnementales strictes, qui limitent drastiquement l’offre. Certains acteurs du marché estiment que la demande occidentale a augmenté de manière significative, mais que la hausse des cours découle des craintes de tensions sur l’approvisionnement, alimentées par le déclin des quantités de métal arrivant de Chine. Un acheteur souligne, quant à lui, que le marché ne manque pas de métal pour satisfaire la demande, mais que c’est son accès qui est fortement perturbé. « </w:t>
      </w:r>
      <w:r w:rsidRPr="009220CF">
        <w:rPr>
          <w:rFonts w:ascii="Lato" w:eastAsia="Times New Roman" w:hAnsi="Lato" w:cs="Times New Roman"/>
          <w:i/>
          <w:iCs/>
          <w:color w:val="000000"/>
          <w:kern w:val="0"/>
          <w:sz w:val="23"/>
          <w:szCs w:val="23"/>
          <w:lang w:eastAsia="fr-BE"/>
          <w14:ligatures w14:val="none"/>
        </w:rPr>
        <w:t>Il n’y a pas de pénurie de tungstène à l’échelle mondiale, mais il est indéniable qu’il est difficile de s’en procurer </w:t>
      </w:r>
      <w:r w:rsidRPr="009220CF">
        <w:rPr>
          <w:rFonts w:ascii="Lato" w:eastAsia="Times New Roman" w:hAnsi="Lato" w:cs="Times New Roman"/>
          <w:color w:val="000000"/>
          <w:kern w:val="0"/>
          <w:sz w:val="23"/>
          <w:szCs w:val="23"/>
          <w:lang w:eastAsia="fr-BE"/>
          <w14:ligatures w14:val="none"/>
        </w:rPr>
        <w:t>», indique-t-il. Parallèlement, le marché du </w:t>
      </w:r>
      <w:proofErr w:type="spellStart"/>
      <w:r w:rsidRPr="009220CF">
        <w:rPr>
          <w:rFonts w:ascii="Lato" w:eastAsia="Times New Roman" w:hAnsi="Lato" w:cs="Times New Roman"/>
          <w:color w:val="000000"/>
          <w:kern w:val="0"/>
          <w:sz w:val="23"/>
          <w:szCs w:val="23"/>
          <w:u w:val="single"/>
          <w:lang w:eastAsia="fr-BE"/>
          <w14:ligatures w14:val="none"/>
        </w:rPr>
        <w:t>ferro</w:t>
      </w:r>
      <w:proofErr w:type="spellEnd"/>
      <w:r w:rsidRPr="009220CF">
        <w:rPr>
          <w:rFonts w:ascii="Lato" w:eastAsia="Times New Roman" w:hAnsi="Lato" w:cs="Times New Roman"/>
          <w:color w:val="000000"/>
          <w:kern w:val="0"/>
          <w:sz w:val="23"/>
          <w:szCs w:val="23"/>
          <w:u w:val="single"/>
          <w:lang w:eastAsia="fr-BE"/>
          <w14:ligatures w14:val="none"/>
        </w:rPr>
        <w:t>-tungstène</w:t>
      </w:r>
      <w:r w:rsidRPr="009220CF">
        <w:rPr>
          <w:rFonts w:ascii="Lato" w:eastAsia="Times New Roman" w:hAnsi="Lato" w:cs="Times New Roman"/>
          <w:color w:val="000000"/>
          <w:kern w:val="0"/>
          <w:sz w:val="23"/>
          <w:szCs w:val="23"/>
          <w:lang w:eastAsia="fr-BE"/>
          <w14:ligatures w14:val="none"/>
        </w:rPr>
        <w:t> a progressé en 2025, mais s’est, globalement, montré moins volatil au cours du premier semestre. Toutefois, juillet a marqué un tournant. L’offre s’est tarie et la demande s’est raffermie, ce qui a fait bondir les cours.</w:t>
      </w:r>
    </w:p>
    <w:p w14:paraId="0C389F69"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 </w:t>
      </w:r>
    </w:p>
    <w:p w14:paraId="73482714"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b/>
          <w:bCs/>
          <w:color w:val="A52A2A"/>
          <w:kern w:val="0"/>
          <w:sz w:val="23"/>
          <w:szCs w:val="23"/>
          <w:lang w:eastAsia="fr-BE"/>
          <w14:ligatures w14:val="none"/>
        </w:rPr>
        <w:t xml:space="preserve">Magnésium / lithium : US </w:t>
      </w:r>
      <w:proofErr w:type="spellStart"/>
      <w:r w:rsidRPr="009220CF">
        <w:rPr>
          <w:rFonts w:ascii="Lato" w:eastAsia="Times New Roman" w:hAnsi="Lato" w:cs="Times New Roman"/>
          <w:b/>
          <w:bCs/>
          <w:color w:val="A52A2A"/>
          <w:kern w:val="0"/>
          <w:sz w:val="23"/>
          <w:szCs w:val="23"/>
          <w:lang w:eastAsia="fr-BE"/>
          <w14:ligatures w14:val="none"/>
        </w:rPr>
        <w:t>Magnesium</w:t>
      </w:r>
      <w:proofErr w:type="spellEnd"/>
      <w:r w:rsidRPr="009220CF">
        <w:rPr>
          <w:rFonts w:ascii="Lato" w:eastAsia="Times New Roman" w:hAnsi="Lato" w:cs="Times New Roman"/>
          <w:b/>
          <w:bCs/>
          <w:color w:val="A52A2A"/>
          <w:kern w:val="0"/>
          <w:sz w:val="23"/>
          <w:szCs w:val="23"/>
          <w:lang w:eastAsia="fr-BE"/>
          <w14:ligatures w14:val="none"/>
        </w:rPr>
        <w:t xml:space="preserve"> en faillite</w:t>
      </w:r>
    </w:p>
    <w:p w14:paraId="3210235A"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b/>
          <w:bCs/>
          <w:color w:val="000000"/>
          <w:kern w:val="0"/>
          <w:sz w:val="23"/>
          <w:szCs w:val="23"/>
          <w:lang w:eastAsia="fr-BE"/>
          <w14:ligatures w14:val="none"/>
        </w:rPr>
        <w:t xml:space="preserve">US </w:t>
      </w:r>
      <w:proofErr w:type="spellStart"/>
      <w:r w:rsidRPr="009220CF">
        <w:rPr>
          <w:rFonts w:ascii="Lato" w:eastAsia="Times New Roman" w:hAnsi="Lato" w:cs="Times New Roman"/>
          <w:b/>
          <w:bCs/>
          <w:color w:val="000000"/>
          <w:kern w:val="0"/>
          <w:sz w:val="23"/>
          <w:szCs w:val="23"/>
          <w:lang w:eastAsia="fr-BE"/>
          <w14:ligatures w14:val="none"/>
        </w:rPr>
        <w:t>Magnesium</w:t>
      </w:r>
      <w:proofErr w:type="spellEnd"/>
      <w:r w:rsidRPr="009220CF">
        <w:rPr>
          <w:rFonts w:ascii="Lato" w:eastAsia="Times New Roman" w:hAnsi="Lato" w:cs="Times New Roman"/>
          <w:color w:val="000000"/>
          <w:kern w:val="0"/>
          <w:sz w:val="23"/>
          <w:szCs w:val="23"/>
          <w:lang w:eastAsia="fr-BE"/>
          <w14:ligatures w14:val="none"/>
        </w:rPr>
        <w:t>, producteur américain de </w:t>
      </w:r>
      <w:r w:rsidRPr="009220CF">
        <w:rPr>
          <w:rFonts w:ascii="Lato" w:eastAsia="Times New Roman" w:hAnsi="Lato" w:cs="Times New Roman"/>
          <w:color w:val="000000"/>
          <w:kern w:val="0"/>
          <w:sz w:val="23"/>
          <w:szCs w:val="23"/>
          <w:u w:val="single"/>
          <w:lang w:eastAsia="fr-BE"/>
          <w14:ligatures w14:val="none"/>
        </w:rPr>
        <w:t>magnésium</w:t>
      </w:r>
      <w:r w:rsidRPr="009220CF">
        <w:rPr>
          <w:rFonts w:ascii="Lato" w:eastAsia="Times New Roman" w:hAnsi="Lato" w:cs="Times New Roman"/>
          <w:color w:val="000000"/>
          <w:kern w:val="0"/>
          <w:sz w:val="23"/>
          <w:szCs w:val="23"/>
          <w:lang w:eastAsia="fr-BE"/>
          <w14:ligatures w14:val="none"/>
        </w:rPr>
        <w:t> et de </w:t>
      </w:r>
      <w:r w:rsidRPr="009220CF">
        <w:rPr>
          <w:rFonts w:ascii="Lato" w:eastAsia="Times New Roman" w:hAnsi="Lato" w:cs="Times New Roman"/>
          <w:color w:val="000000"/>
          <w:kern w:val="0"/>
          <w:sz w:val="23"/>
          <w:szCs w:val="23"/>
          <w:u w:val="single"/>
          <w:lang w:eastAsia="fr-BE"/>
          <w14:ligatures w14:val="none"/>
        </w:rPr>
        <w:t>carbonate de lithium</w:t>
      </w:r>
      <w:r w:rsidRPr="009220CF">
        <w:rPr>
          <w:rFonts w:ascii="Lato" w:eastAsia="Times New Roman" w:hAnsi="Lato" w:cs="Times New Roman"/>
          <w:color w:val="000000"/>
          <w:kern w:val="0"/>
          <w:sz w:val="23"/>
          <w:szCs w:val="23"/>
          <w:lang w:eastAsia="fr-BE"/>
          <w14:ligatures w14:val="none"/>
        </w:rPr>
        <w:t>, vient de demander une mise en faillite. En novembre dernier, il avait mis son site de production de carbonate de lithium à l’arrêt, arguant de « </w:t>
      </w:r>
      <w:r w:rsidRPr="009220CF">
        <w:rPr>
          <w:rFonts w:ascii="Lato" w:eastAsia="Times New Roman" w:hAnsi="Lato" w:cs="Times New Roman"/>
          <w:i/>
          <w:iCs/>
          <w:color w:val="000000"/>
          <w:kern w:val="0"/>
          <w:sz w:val="23"/>
          <w:szCs w:val="23"/>
          <w:lang w:eastAsia="fr-BE"/>
          <w14:ligatures w14:val="none"/>
        </w:rPr>
        <w:t>conditions de marché détériorées </w:t>
      </w:r>
      <w:r w:rsidRPr="009220CF">
        <w:rPr>
          <w:rFonts w:ascii="Lato" w:eastAsia="Times New Roman" w:hAnsi="Lato" w:cs="Times New Roman"/>
          <w:color w:val="000000"/>
          <w:kern w:val="0"/>
          <w:sz w:val="23"/>
          <w:szCs w:val="23"/>
          <w:lang w:eastAsia="fr-BE"/>
          <w14:ligatures w14:val="none"/>
        </w:rPr>
        <w:t>». Le groupe était l’un des deux seuls producteurs de lithium en activité aux Etats-Unis. </w:t>
      </w:r>
      <w:proofErr w:type="spellStart"/>
      <w:r w:rsidRPr="009220CF">
        <w:rPr>
          <w:rFonts w:ascii="Lato" w:eastAsia="Times New Roman" w:hAnsi="Lato" w:cs="Times New Roman"/>
          <w:b/>
          <w:bCs/>
          <w:color w:val="000000"/>
          <w:kern w:val="0"/>
          <w:sz w:val="23"/>
          <w:szCs w:val="23"/>
          <w:lang w:eastAsia="fr-BE"/>
          <w14:ligatures w14:val="none"/>
        </w:rPr>
        <w:t>Albermarle</w:t>
      </w:r>
      <w:proofErr w:type="spellEnd"/>
      <w:r w:rsidRPr="009220CF">
        <w:rPr>
          <w:rFonts w:ascii="Lato" w:eastAsia="Times New Roman" w:hAnsi="Lato" w:cs="Times New Roman"/>
          <w:b/>
          <w:bCs/>
          <w:color w:val="000000"/>
          <w:kern w:val="0"/>
          <w:sz w:val="23"/>
          <w:szCs w:val="23"/>
          <w:lang w:eastAsia="fr-BE"/>
          <w14:ligatures w14:val="none"/>
        </w:rPr>
        <w:t> </w:t>
      </w:r>
      <w:r w:rsidRPr="009220CF">
        <w:rPr>
          <w:rFonts w:ascii="Lato" w:eastAsia="Times New Roman" w:hAnsi="Lato" w:cs="Times New Roman"/>
          <w:color w:val="000000"/>
          <w:kern w:val="0"/>
          <w:sz w:val="23"/>
          <w:szCs w:val="23"/>
          <w:lang w:eastAsia="fr-BE"/>
          <w14:ligatures w14:val="none"/>
        </w:rPr>
        <w:t>devient donc le seul producteur à échelle commerciale du pays. Il était également le seul producteur de magnésium du pays, avec une capacité annuelle de 63 500 tonnes.</w:t>
      </w:r>
    </w:p>
    <w:p w14:paraId="3028FB8E"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 </w:t>
      </w:r>
    </w:p>
    <w:p w14:paraId="2F47317B"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b/>
          <w:bCs/>
          <w:color w:val="A52A2A"/>
          <w:kern w:val="0"/>
          <w:sz w:val="23"/>
          <w:szCs w:val="23"/>
          <w:lang w:eastAsia="fr-BE"/>
          <w14:ligatures w14:val="none"/>
        </w:rPr>
        <w:t>Cobalt : IXM contourne l’embargo de la RDC</w:t>
      </w:r>
    </w:p>
    <w:p w14:paraId="59420CAE"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b/>
          <w:bCs/>
          <w:color w:val="000000"/>
          <w:kern w:val="0"/>
          <w:sz w:val="23"/>
          <w:szCs w:val="23"/>
          <w:lang w:eastAsia="fr-BE"/>
          <w14:ligatures w14:val="none"/>
        </w:rPr>
        <w:t>IXM</w:t>
      </w:r>
      <w:r w:rsidRPr="009220CF">
        <w:rPr>
          <w:rFonts w:ascii="Lato" w:eastAsia="Times New Roman" w:hAnsi="Lato" w:cs="Times New Roman"/>
          <w:color w:val="000000"/>
          <w:kern w:val="0"/>
          <w:sz w:val="23"/>
          <w:szCs w:val="23"/>
          <w:lang w:eastAsia="fr-BE"/>
          <w14:ligatures w14:val="none"/>
        </w:rPr>
        <w:t>, l’unité de courtage du plus gros producteur mondial de cobalt, </w:t>
      </w:r>
      <w:r w:rsidRPr="009220CF">
        <w:rPr>
          <w:rFonts w:ascii="Lato" w:eastAsia="Times New Roman" w:hAnsi="Lato" w:cs="Times New Roman"/>
          <w:b/>
          <w:bCs/>
          <w:color w:val="000000"/>
          <w:kern w:val="0"/>
          <w:sz w:val="23"/>
          <w:szCs w:val="23"/>
          <w:lang w:eastAsia="fr-BE"/>
          <w14:ligatures w14:val="none"/>
        </w:rPr>
        <w:t>CMOC Group</w:t>
      </w:r>
      <w:r w:rsidRPr="009220CF">
        <w:rPr>
          <w:rFonts w:ascii="Lato" w:eastAsia="Times New Roman" w:hAnsi="Lato" w:cs="Times New Roman"/>
          <w:color w:val="000000"/>
          <w:kern w:val="0"/>
          <w:sz w:val="23"/>
          <w:szCs w:val="23"/>
          <w:lang w:eastAsia="fr-BE"/>
          <w14:ligatures w14:val="none"/>
        </w:rPr>
        <w:t>, a signé un accord avec le producteur malgache de nickel et cobalt, </w:t>
      </w:r>
      <w:proofErr w:type="spellStart"/>
      <w:r w:rsidRPr="009220CF">
        <w:rPr>
          <w:rFonts w:ascii="Lato" w:eastAsia="Times New Roman" w:hAnsi="Lato" w:cs="Times New Roman"/>
          <w:b/>
          <w:bCs/>
          <w:color w:val="000000"/>
          <w:kern w:val="0"/>
          <w:sz w:val="23"/>
          <w:szCs w:val="23"/>
          <w:lang w:eastAsia="fr-BE"/>
          <w14:ligatures w14:val="none"/>
        </w:rPr>
        <w:t>Ambatovy</w:t>
      </w:r>
      <w:proofErr w:type="spellEnd"/>
      <w:r w:rsidRPr="009220CF">
        <w:rPr>
          <w:rFonts w:ascii="Lato" w:eastAsia="Times New Roman" w:hAnsi="Lato" w:cs="Times New Roman"/>
          <w:color w:val="000000"/>
          <w:kern w:val="0"/>
          <w:sz w:val="23"/>
          <w:szCs w:val="23"/>
          <w:lang w:eastAsia="fr-BE"/>
          <w14:ligatures w14:val="none"/>
        </w:rPr>
        <w:t>, afin de vendre son cobalt en Europe et Amérique du Nord. </w:t>
      </w:r>
      <w:proofErr w:type="spellStart"/>
      <w:r w:rsidRPr="009220CF">
        <w:rPr>
          <w:rFonts w:ascii="Lato" w:eastAsia="Times New Roman" w:hAnsi="Lato" w:cs="Times New Roman"/>
          <w:b/>
          <w:bCs/>
          <w:color w:val="000000"/>
          <w:kern w:val="0"/>
          <w:sz w:val="23"/>
          <w:szCs w:val="23"/>
          <w:lang w:eastAsia="fr-BE"/>
          <w14:ligatures w14:val="none"/>
        </w:rPr>
        <w:t>Ambatovy</w:t>
      </w:r>
      <w:proofErr w:type="spellEnd"/>
      <w:r w:rsidRPr="009220CF">
        <w:rPr>
          <w:rFonts w:ascii="Lato" w:eastAsia="Times New Roman" w:hAnsi="Lato" w:cs="Times New Roman"/>
          <w:color w:val="000000"/>
          <w:kern w:val="0"/>
          <w:sz w:val="23"/>
          <w:szCs w:val="23"/>
          <w:lang w:eastAsia="fr-BE"/>
          <w14:ligatures w14:val="none"/>
        </w:rPr>
        <w:t>, une joint-venture entre le Japonais </w:t>
      </w:r>
      <w:r w:rsidRPr="009220CF">
        <w:rPr>
          <w:rFonts w:ascii="Lato" w:eastAsia="Times New Roman" w:hAnsi="Lato" w:cs="Times New Roman"/>
          <w:b/>
          <w:bCs/>
          <w:color w:val="000000"/>
          <w:kern w:val="0"/>
          <w:sz w:val="23"/>
          <w:szCs w:val="23"/>
          <w:lang w:eastAsia="fr-BE"/>
          <w14:ligatures w14:val="none"/>
        </w:rPr>
        <w:t>Sumitomo Corporation </w:t>
      </w:r>
      <w:r w:rsidRPr="009220CF">
        <w:rPr>
          <w:rFonts w:ascii="Lato" w:eastAsia="Times New Roman" w:hAnsi="Lato" w:cs="Times New Roman"/>
          <w:color w:val="000000"/>
          <w:kern w:val="0"/>
          <w:sz w:val="23"/>
          <w:szCs w:val="23"/>
          <w:lang w:eastAsia="fr-BE"/>
          <w14:ligatures w14:val="none"/>
        </w:rPr>
        <w:t>et le Sud-Coréen </w:t>
      </w:r>
      <w:proofErr w:type="spellStart"/>
      <w:r w:rsidRPr="009220CF">
        <w:rPr>
          <w:rFonts w:ascii="Lato" w:eastAsia="Times New Roman" w:hAnsi="Lato" w:cs="Times New Roman"/>
          <w:b/>
          <w:bCs/>
          <w:color w:val="000000"/>
          <w:kern w:val="0"/>
          <w:sz w:val="23"/>
          <w:szCs w:val="23"/>
          <w:lang w:eastAsia="fr-BE"/>
          <w14:ligatures w14:val="none"/>
        </w:rPr>
        <w:t>Komir</w:t>
      </w:r>
      <w:proofErr w:type="spellEnd"/>
      <w:r w:rsidRPr="009220CF">
        <w:rPr>
          <w:rFonts w:ascii="Lato" w:eastAsia="Times New Roman" w:hAnsi="Lato" w:cs="Times New Roman"/>
          <w:color w:val="000000"/>
          <w:kern w:val="0"/>
          <w:sz w:val="23"/>
          <w:szCs w:val="23"/>
          <w:lang w:eastAsia="fr-BE"/>
          <w14:ligatures w14:val="none"/>
        </w:rPr>
        <w:t>, possède une capacité de production de cobalt de 5 600 tonnes par an. </w:t>
      </w:r>
      <w:proofErr w:type="spellStart"/>
      <w:r w:rsidRPr="009220CF">
        <w:rPr>
          <w:rFonts w:ascii="Lato" w:eastAsia="Times New Roman" w:hAnsi="Lato" w:cs="Times New Roman"/>
          <w:b/>
          <w:bCs/>
          <w:color w:val="000000"/>
          <w:kern w:val="0"/>
          <w:sz w:val="23"/>
          <w:szCs w:val="23"/>
          <w:lang w:eastAsia="fr-BE"/>
          <w14:ligatures w14:val="none"/>
        </w:rPr>
        <w:t>Ambatovy</w:t>
      </w:r>
      <w:proofErr w:type="spellEnd"/>
      <w:r w:rsidRPr="009220CF">
        <w:rPr>
          <w:rFonts w:ascii="Lato" w:eastAsia="Times New Roman" w:hAnsi="Lato" w:cs="Times New Roman"/>
          <w:b/>
          <w:bCs/>
          <w:color w:val="000000"/>
          <w:kern w:val="0"/>
          <w:sz w:val="23"/>
          <w:szCs w:val="23"/>
          <w:lang w:eastAsia="fr-BE"/>
          <w14:ligatures w14:val="none"/>
        </w:rPr>
        <w:t> </w:t>
      </w:r>
      <w:r w:rsidRPr="009220CF">
        <w:rPr>
          <w:rFonts w:ascii="Lato" w:eastAsia="Times New Roman" w:hAnsi="Lato" w:cs="Times New Roman"/>
          <w:color w:val="000000"/>
          <w:kern w:val="0"/>
          <w:sz w:val="23"/>
          <w:szCs w:val="23"/>
          <w:lang w:eastAsia="fr-BE"/>
          <w14:ligatures w14:val="none"/>
        </w:rPr>
        <w:t xml:space="preserve">devrait produire 2 500 tonnes cette année, un niveau inférieur aux années précédentes qui s’explique par des opérations de maintenance effectuées en février et d’autres prévues en fin d’année, </w:t>
      </w:r>
      <w:proofErr w:type="gramStart"/>
      <w:r w:rsidRPr="009220CF">
        <w:rPr>
          <w:rFonts w:ascii="Lato" w:eastAsia="Times New Roman" w:hAnsi="Lato" w:cs="Times New Roman"/>
          <w:color w:val="000000"/>
          <w:kern w:val="0"/>
          <w:sz w:val="23"/>
          <w:szCs w:val="23"/>
          <w:lang w:eastAsia="fr-BE"/>
          <w14:ligatures w14:val="none"/>
        </w:rPr>
        <w:t>suite à</w:t>
      </w:r>
      <w:proofErr w:type="gramEnd"/>
      <w:r w:rsidRPr="009220CF">
        <w:rPr>
          <w:rFonts w:ascii="Lato" w:eastAsia="Times New Roman" w:hAnsi="Lato" w:cs="Times New Roman"/>
          <w:color w:val="000000"/>
          <w:kern w:val="0"/>
          <w:sz w:val="23"/>
          <w:szCs w:val="23"/>
          <w:lang w:eastAsia="fr-BE"/>
          <w14:ligatures w14:val="none"/>
        </w:rPr>
        <w:t xml:space="preserve"> l’explosion d’un pipeline, en septembre 2024. Les acteurs du marché se sont dit surpris de la décision d’</w:t>
      </w:r>
      <w:r w:rsidRPr="009220CF">
        <w:rPr>
          <w:rFonts w:ascii="Lato" w:eastAsia="Times New Roman" w:hAnsi="Lato" w:cs="Times New Roman"/>
          <w:b/>
          <w:bCs/>
          <w:color w:val="000000"/>
          <w:kern w:val="0"/>
          <w:sz w:val="23"/>
          <w:szCs w:val="23"/>
          <w:lang w:eastAsia="fr-BE"/>
          <w14:ligatures w14:val="none"/>
        </w:rPr>
        <w:t>IXM</w:t>
      </w:r>
      <w:r w:rsidRPr="009220CF">
        <w:rPr>
          <w:rFonts w:ascii="Lato" w:eastAsia="Times New Roman" w:hAnsi="Lato" w:cs="Times New Roman"/>
          <w:color w:val="000000"/>
          <w:kern w:val="0"/>
          <w:sz w:val="23"/>
          <w:szCs w:val="23"/>
          <w:lang w:eastAsia="fr-BE"/>
          <w14:ligatures w14:val="none"/>
        </w:rPr>
        <w:t>. Cet accord va lui ouvrir l’accès à l’Amérique du Nord, tandis que les Etats-Unis conservent des droits de douane de 35% sur les importations chinoises. Une partie de l’hydroxyde produit par </w:t>
      </w:r>
      <w:r w:rsidRPr="009220CF">
        <w:rPr>
          <w:rFonts w:ascii="Lato" w:eastAsia="Times New Roman" w:hAnsi="Lato" w:cs="Times New Roman"/>
          <w:b/>
          <w:bCs/>
          <w:color w:val="000000"/>
          <w:kern w:val="0"/>
          <w:sz w:val="23"/>
          <w:szCs w:val="23"/>
          <w:lang w:eastAsia="fr-BE"/>
          <w14:ligatures w14:val="none"/>
        </w:rPr>
        <w:t>CMOC </w:t>
      </w:r>
      <w:r w:rsidRPr="009220CF">
        <w:rPr>
          <w:rFonts w:ascii="Lato" w:eastAsia="Times New Roman" w:hAnsi="Lato" w:cs="Times New Roman"/>
          <w:color w:val="000000"/>
          <w:kern w:val="0"/>
          <w:sz w:val="23"/>
          <w:szCs w:val="23"/>
          <w:lang w:eastAsia="fr-BE"/>
          <w14:ligatures w14:val="none"/>
        </w:rPr>
        <w:t>dans ses deux mines situées en RDC, est transformée en Chine, dans le cadre d’accords conclus entre </w:t>
      </w:r>
      <w:r w:rsidRPr="009220CF">
        <w:rPr>
          <w:rFonts w:ascii="Lato" w:eastAsia="Times New Roman" w:hAnsi="Lato" w:cs="Times New Roman"/>
          <w:b/>
          <w:bCs/>
          <w:color w:val="000000"/>
          <w:kern w:val="0"/>
          <w:sz w:val="23"/>
          <w:szCs w:val="23"/>
          <w:lang w:eastAsia="fr-BE"/>
          <w14:ligatures w14:val="none"/>
        </w:rPr>
        <w:t>IXM </w:t>
      </w:r>
      <w:r w:rsidRPr="009220CF">
        <w:rPr>
          <w:rFonts w:ascii="Lato" w:eastAsia="Times New Roman" w:hAnsi="Lato" w:cs="Times New Roman"/>
          <w:color w:val="000000"/>
          <w:kern w:val="0"/>
          <w:sz w:val="23"/>
          <w:szCs w:val="23"/>
          <w:lang w:eastAsia="fr-BE"/>
          <w14:ligatures w14:val="none"/>
        </w:rPr>
        <w:t xml:space="preserve">et des affineurs chinois. L’accord </w:t>
      </w:r>
      <w:r w:rsidRPr="009220CF">
        <w:rPr>
          <w:rFonts w:ascii="Lato" w:eastAsia="Times New Roman" w:hAnsi="Lato" w:cs="Times New Roman"/>
          <w:color w:val="000000"/>
          <w:kern w:val="0"/>
          <w:sz w:val="23"/>
          <w:szCs w:val="23"/>
          <w:lang w:eastAsia="fr-BE"/>
          <w14:ligatures w14:val="none"/>
        </w:rPr>
        <w:lastRenderedPageBreak/>
        <w:t>commercial avec </w:t>
      </w:r>
      <w:proofErr w:type="spellStart"/>
      <w:r w:rsidRPr="009220CF">
        <w:rPr>
          <w:rFonts w:ascii="Lato" w:eastAsia="Times New Roman" w:hAnsi="Lato" w:cs="Times New Roman"/>
          <w:b/>
          <w:bCs/>
          <w:color w:val="000000"/>
          <w:kern w:val="0"/>
          <w:sz w:val="23"/>
          <w:szCs w:val="23"/>
          <w:lang w:eastAsia="fr-BE"/>
          <w14:ligatures w14:val="none"/>
        </w:rPr>
        <w:t>Ambatovy</w:t>
      </w:r>
      <w:proofErr w:type="spellEnd"/>
      <w:r w:rsidRPr="009220CF">
        <w:rPr>
          <w:rFonts w:ascii="Lato" w:eastAsia="Times New Roman" w:hAnsi="Lato" w:cs="Times New Roman"/>
          <w:b/>
          <w:bCs/>
          <w:color w:val="000000"/>
          <w:kern w:val="0"/>
          <w:sz w:val="23"/>
          <w:szCs w:val="23"/>
          <w:lang w:eastAsia="fr-BE"/>
          <w14:ligatures w14:val="none"/>
        </w:rPr>
        <w:t> </w:t>
      </w:r>
      <w:r w:rsidRPr="009220CF">
        <w:rPr>
          <w:rFonts w:ascii="Lato" w:eastAsia="Times New Roman" w:hAnsi="Lato" w:cs="Times New Roman"/>
          <w:color w:val="000000"/>
          <w:kern w:val="0"/>
          <w:sz w:val="23"/>
          <w:szCs w:val="23"/>
          <w:lang w:eastAsia="fr-BE"/>
          <w14:ligatures w14:val="none"/>
        </w:rPr>
        <w:t>permet désormais à </w:t>
      </w:r>
      <w:r w:rsidRPr="009220CF">
        <w:rPr>
          <w:rFonts w:ascii="Lato" w:eastAsia="Times New Roman" w:hAnsi="Lato" w:cs="Times New Roman"/>
          <w:b/>
          <w:bCs/>
          <w:color w:val="000000"/>
          <w:kern w:val="0"/>
          <w:sz w:val="23"/>
          <w:szCs w:val="23"/>
          <w:lang w:eastAsia="fr-BE"/>
          <w14:ligatures w14:val="none"/>
        </w:rPr>
        <w:t>IXM </w:t>
      </w:r>
      <w:r w:rsidRPr="009220CF">
        <w:rPr>
          <w:rFonts w:ascii="Lato" w:eastAsia="Times New Roman" w:hAnsi="Lato" w:cs="Times New Roman"/>
          <w:color w:val="000000"/>
          <w:kern w:val="0"/>
          <w:sz w:val="23"/>
          <w:szCs w:val="23"/>
          <w:lang w:eastAsia="fr-BE"/>
          <w14:ligatures w14:val="none"/>
        </w:rPr>
        <w:t>de disposer d’un portefeuille diversifié de cobalt. « </w:t>
      </w:r>
      <w:r w:rsidRPr="009220CF">
        <w:rPr>
          <w:rFonts w:ascii="Lato" w:eastAsia="Times New Roman" w:hAnsi="Lato" w:cs="Times New Roman"/>
          <w:i/>
          <w:iCs/>
          <w:color w:val="000000"/>
          <w:kern w:val="0"/>
          <w:sz w:val="23"/>
          <w:szCs w:val="23"/>
          <w:lang w:eastAsia="fr-BE"/>
          <w14:ligatures w14:val="none"/>
        </w:rPr>
        <w:t>C’est une décision judicieuse d’IXM, puisqu’elle lui permet de contourner l’embargo de la RDC, qui les visait directement, en disposant d’une source d’approvisionnement hors RDC </w:t>
      </w:r>
      <w:r w:rsidRPr="009220CF">
        <w:rPr>
          <w:rFonts w:ascii="Lato" w:eastAsia="Times New Roman" w:hAnsi="Lato" w:cs="Times New Roman"/>
          <w:color w:val="000000"/>
          <w:kern w:val="0"/>
          <w:sz w:val="23"/>
          <w:szCs w:val="23"/>
          <w:lang w:eastAsia="fr-BE"/>
          <w14:ligatures w14:val="none"/>
        </w:rPr>
        <w:t>», explique un opérateur.</w:t>
      </w:r>
    </w:p>
    <w:p w14:paraId="55ED569C" w14:textId="77777777" w:rsidR="009220CF" w:rsidRPr="009220CF" w:rsidRDefault="009220CF" w:rsidP="009220C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220CF">
        <w:rPr>
          <w:rFonts w:ascii="Lato" w:eastAsia="Times New Roman" w:hAnsi="Lato" w:cs="Times New Roman"/>
          <w:color w:val="000000"/>
          <w:kern w:val="0"/>
          <w:sz w:val="23"/>
          <w:szCs w:val="23"/>
          <w:lang w:eastAsia="fr-BE"/>
          <w14:ligatures w14:val="none"/>
        </w:rPr>
        <w:t> </w:t>
      </w:r>
    </w:p>
    <w:p w14:paraId="548E71EB"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CF"/>
    <w:rsid w:val="00287462"/>
    <w:rsid w:val="009220CF"/>
    <w:rsid w:val="00FF28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1756"/>
  <w15:chartTrackingRefBased/>
  <w15:docId w15:val="{3D03E023-EC46-4225-A235-2CE2495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2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2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20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20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20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20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20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20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20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20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20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20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20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20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20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20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20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20CF"/>
    <w:rPr>
      <w:rFonts w:eastAsiaTheme="majorEastAsia" w:cstheme="majorBidi"/>
      <w:color w:val="272727" w:themeColor="text1" w:themeTint="D8"/>
    </w:rPr>
  </w:style>
  <w:style w:type="paragraph" w:styleId="Titre">
    <w:name w:val="Title"/>
    <w:basedOn w:val="Normal"/>
    <w:next w:val="Normal"/>
    <w:link w:val="TitreCar"/>
    <w:uiPriority w:val="10"/>
    <w:qFormat/>
    <w:rsid w:val="00922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20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20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20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20CF"/>
    <w:pPr>
      <w:spacing w:before="160"/>
      <w:jc w:val="center"/>
    </w:pPr>
    <w:rPr>
      <w:i/>
      <w:iCs/>
      <w:color w:val="404040" w:themeColor="text1" w:themeTint="BF"/>
    </w:rPr>
  </w:style>
  <w:style w:type="character" w:customStyle="1" w:styleId="CitationCar">
    <w:name w:val="Citation Car"/>
    <w:basedOn w:val="Policepardfaut"/>
    <w:link w:val="Citation"/>
    <w:uiPriority w:val="29"/>
    <w:rsid w:val="009220CF"/>
    <w:rPr>
      <w:i/>
      <w:iCs/>
      <w:color w:val="404040" w:themeColor="text1" w:themeTint="BF"/>
    </w:rPr>
  </w:style>
  <w:style w:type="paragraph" w:styleId="Paragraphedeliste">
    <w:name w:val="List Paragraph"/>
    <w:basedOn w:val="Normal"/>
    <w:uiPriority w:val="34"/>
    <w:qFormat/>
    <w:rsid w:val="009220CF"/>
    <w:pPr>
      <w:ind w:left="720"/>
      <w:contextualSpacing/>
    </w:pPr>
  </w:style>
  <w:style w:type="character" w:styleId="Accentuationintense">
    <w:name w:val="Intense Emphasis"/>
    <w:basedOn w:val="Policepardfaut"/>
    <w:uiPriority w:val="21"/>
    <w:qFormat/>
    <w:rsid w:val="009220CF"/>
    <w:rPr>
      <w:i/>
      <w:iCs/>
      <w:color w:val="0F4761" w:themeColor="accent1" w:themeShade="BF"/>
    </w:rPr>
  </w:style>
  <w:style w:type="paragraph" w:styleId="Citationintense">
    <w:name w:val="Intense Quote"/>
    <w:basedOn w:val="Normal"/>
    <w:next w:val="Normal"/>
    <w:link w:val="CitationintenseCar"/>
    <w:uiPriority w:val="30"/>
    <w:qFormat/>
    <w:rsid w:val="00922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20CF"/>
    <w:rPr>
      <w:i/>
      <w:iCs/>
      <w:color w:val="0F4761" w:themeColor="accent1" w:themeShade="BF"/>
    </w:rPr>
  </w:style>
  <w:style w:type="character" w:styleId="Rfrenceintense">
    <w:name w:val="Intense Reference"/>
    <w:basedOn w:val="Policepardfaut"/>
    <w:uiPriority w:val="32"/>
    <w:qFormat/>
    <w:rsid w:val="00922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2025-09-16T04:38:00Z</dcterms:created>
  <dcterms:modified xsi:type="dcterms:W3CDTF">2025-09-16T04:39:00Z</dcterms:modified>
</cp:coreProperties>
</file>